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129"/>
        <w:gridCol w:w="1480"/>
        <w:gridCol w:w="1061"/>
        <w:gridCol w:w="1203"/>
        <w:gridCol w:w="1203"/>
        <w:gridCol w:w="1274"/>
        <w:gridCol w:w="1272"/>
      </w:tblGrid>
      <w:tr w:rsidR="00087969" w:rsidRPr="00300FA1" w:rsidTr="00D9723E">
        <w:trPr>
          <w:tblHeader/>
        </w:trPr>
        <w:tc>
          <w:tcPr>
            <w:tcW w:w="21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300FA1" w:rsidRDefault="008904FB" w:rsidP="008044C2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23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3D3D47" w:rsidRPr="00300FA1" w:rsidTr="00D9723E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1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3D3D47" w:rsidRPr="00300FA1" w:rsidTr="00D9723E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1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300FA1" w:rsidRDefault="008904FB" w:rsidP="008044C2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300FA1" w:rsidRDefault="008904FB" w:rsidP="008044C2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300FA1" w:rsidRDefault="008904FB" w:rsidP="008044C2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300FA1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3D3D47" w:rsidRPr="00300FA1" w:rsidTr="00D9723E">
        <w:tblPrEx>
          <w:tblCellMar>
            <w:left w:w="70" w:type="dxa"/>
            <w:right w:w="70" w:type="dxa"/>
          </w:tblCellMar>
        </w:tblPrEx>
        <w:trPr>
          <w:trHeight w:val="417"/>
        </w:trPr>
        <w:tc>
          <w:tcPr>
            <w:tcW w:w="214" w:type="pct"/>
            <w:tcBorders>
              <w:top w:val="single" w:sz="4" w:space="0" w:color="auto"/>
            </w:tcBorders>
          </w:tcPr>
          <w:p w:rsidR="00A17812" w:rsidRPr="00300FA1" w:rsidRDefault="00A17812" w:rsidP="00B765B0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  <w:tcBorders>
              <w:top w:val="single" w:sz="4" w:space="0" w:color="auto"/>
            </w:tcBorders>
          </w:tcPr>
          <w:p w:rsidR="00A17812" w:rsidRPr="00300FA1" w:rsidRDefault="00714B58" w:rsidP="00714B58">
            <w:pPr>
              <w:spacing w:before="120"/>
              <w:ind w:left="57"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300FA1">
              <w:rPr>
                <w:rFonts w:ascii="Noto Sans" w:hAnsi="Noto Sans" w:cs="Noto Sans"/>
                <w:b/>
                <w:sz w:val="18"/>
              </w:rPr>
              <w:t>ANTICIPOS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A17812" w:rsidRPr="00300FA1" w:rsidRDefault="00A17812" w:rsidP="00B765B0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</w:tcBorders>
          </w:tcPr>
          <w:p w:rsidR="00A17812" w:rsidRPr="00300FA1" w:rsidRDefault="00A17812" w:rsidP="00B765B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A17812" w:rsidRPr="00300FA1" w:rsidRDefault="00A17812" w:rsidP="00B765B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A17812" w:rsidRPr="00300FA1" w:rsidRDefault="00A17812" w:rsidP="00B765B0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96DA8" w:rsidRPr="00300FA1" w:rsidRDefault="00296DA8" w:rsidP="00405B84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296DA8" w:rsidRPr="00300FA1" w:rsidRDefault="00296DA8" w:rsidP="00B765B0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los contratos firmados para la recepción de servicios.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Contrato 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8.2.4.1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8.2.2.1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entrega del anticipo pactado a la firma del contrato para la recepción de servicios, así como las retenciones de ley, así como las derivadas de la penalización por incumplimiento de contrato.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Factura, pedido, orden de compra, recibo oficial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1.1.3.1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Anticipo a Proveedores por Adquisición de Bienes y Presentación de Servicios a CP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2.1.1.2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carga a CP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8.2.5.1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Devengado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8.2.4.1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rPr>
                <w:rFonts w:ascii="Noto Sans" w:hAnsi="Noto Sans" w:cs="Noto Sans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2.1.1.7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expedición de las cuentas por liquidar certificadas para el pago de anticipos por servicios recibidos.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Orden de pago o documento equivalente.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8.2.6.1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 Ejercido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8.2.5.1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pago del anticipo para la adquisición de servicios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1.1.1.2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761F21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410" w:type="pct"/>
          </w:tcPr>
          <w:p w:rsidR="00761F21" w:rsidRPr="00300FA1" w:rsidRDefault="00761F21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amortización de los anticipos entregados al proveedor de servicios, una vez recibidos a satisfacción del ente público.</w:t>
            </w:r>
          </w:p>
        </w:tc>
        <w:tc>
          <w:tcPr>
            <w:tcW w:w="667" w:type="pct"/>
          </w:tcPr>
          <w:p w:rsidR="00761F21" w:rsidRPr="00300FA1" w:rsidRDefault="00761F21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Recibo oficial, factura, contrato o documento equivalente</w:t>
            </w:r>
          </w:p>
        </w:tc>
        <w:tc>
          <w:tcPr>
            <w:tcW w:w="478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5.1.3.1  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</w:t>
            </w:r>
          </w:p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a</w:t>
            </w:r>
          </w:p>
        </w:tc>
        <w:tc>
          <w:tcPr>
            <w:tcW w:w="542" w:type="pct"/>
            <w:vMerge w:val="restart"/>
          </w:tcPr>
          <w:p w:rsidR="00761F21" w:rsidRPr="00300FA1" w:rsidRDefault="00761F21" w:rsidP="00714B58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1.1.3.1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     Anticipo a Proveedores por Adquisición de Bienes y Prestación de Servicios a CP </w:t>
            </w:r>
          </w:p>
        </w:tc>
        <w:tc>
          <w:tcPr>
            <w:tcW w:w="574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61F21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:rsidR="00761F21" w:rsidRPr="00300FA1" w:rsidRDefault="00761F21" w:rsidP="00714B58">
            <w:pPr>
              <w:spacing w:before="12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61F21" w:rsidRPr="00300FA1" w:rsidRDefault="00761F21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61F21" w:rsidRPr="00300FA1" w:rsidRDefault="00761F21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61F21" w:rsidRPr="00300FA1" w:rsidRDefault="00761F21" w:rsidP="00714B58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5.1.3.9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Servicios Generales</w:t>
            </w:r>
          </w:p>
        </w:tc>
        <w:tc>
          <w:tcPr>
            <w:tcW w:w="542" w:type="pct"/>
            <w:vMerge/>
          </w:tcPr>
          <w:p w:rsidR="00761F21" w:rsidRPr="00300FA1" w:rsidRDefault="00761F21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61F21" w:rsidRPr="00300FA1" w:rsidTr="00300FA1">
        <w:tblPrEx>
          <w:tblCellMar>
            <w:left w:w="70" w:type="dxa"/>
            <w:right w:w="70" w:type="dxa"/>
          </w:tblCellMar>
        </w:tblPrEx>
        <w:trPr>
          <w:trHeight w:val="1406"/>
        </w:trPr>
        <w:tc>
          <w:tcPr>
            <w:tcW w:w="214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61F21" w:rsidRPr="00300FA1" w:rsidRDefault="00761F21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61F21" w:rsidRPr="00300FA1" w:rsidRDefault="00761F21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761F21" w:rsidRPr="00300FA1" w:rsidRDefault="00761F21" w:rsidP="00714B58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42" w:type="pct"/>
            <w:vMerge/>
          </w:tcPr>
          <w:p w:rsidR="00761F21" w:rsidRPr="00300FA1" w:rsidRDefault="00761F21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61F21" w:rsidRPr="00300FA1" w:rsidRDefault="00761F21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410" w:type="pct"/>
            <w:vMerge w:val="restart"/>
          </w:tcPr>
          <w:p w:rsidR="00714B58" w:rsidRPr="00300FA1" w:rsidRDefault="00DB6829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Por el devengado de los servicios generales recibidos, así como las retenciones de Ley, incluyendo la </w:t>
            </w:r>
            <w:r w:rsidRPr="00300FA1">
              <w:rPr>
                <w:rFonts w:ascii="Noto Sans" w:hAnsi="Noto Sans" w:cs="Noto Sans"/>
                <w:sz w:val="18"/>
              </w:rPr>
              <w:lastRenderedPageBreak/>
              <w:t>penalización por incumplimiento de contrato. Incluye IVA.</w:t>
            </w:r>
          </w:p>
        </w:tc>
        <w:tc>
          <w:tcPr>
            <w:tcW w:w="667" w:type="pct"/>
          </w:tcPr>
          <w:p w:rsidR="00714B58" w:rsidRPr="00300FA1" w:rsidRDefault="001F7482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lastRenderedPageBreak/>
              <w:t>Contrato, factura, recibo o documento equivalente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5.1.3.1  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a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2.1.1.2.1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carga a CP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8.2.5.1.1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Devengado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8.2.4.1.1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Comprometido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  <w:vMerge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5.1.3.9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Servicios Generales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2.1.1.7.1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Nota: El numeral 5 y 6 podrán realizarse simultáneamente.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714B58" w:rsidRPr="00300FA1" w:rsidRDefault="00714B58" w:rsidP="00714B58">
            <w:pPr>
              <w:spacing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410" w:type="pct"/>
          </w:tcPr>
          <w:p w:rsidR="00714B58" w:rsidRPr="00300FA1" w:rsidRDefault="00DB6829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expedición de la orden de pago para los servicios generales recibidos.</w:t>
            </w:r>
          </w:p>
        </w:tc>
        <w:tc>
          <w:tcPr>
            <w:tcW w:w="667" w:type="pct"/>
          </w:tcPr>
          <w:p w:rsidR="00714B58" w:rsidRPr="00300FA1" w:rsidRDefault="00714B58" w:rsidP="009C139A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Orden de pago 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4" w:type="pct"/>
          </w:tcPr>
          <w:p w:rsidR="00DB6829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8.2.6.1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 Ejercido</w:t>
            </w:r>
          </w:p>
        </w:tc>
        <w:tc>
          <w:tcPr>
            <w:tcW w:w="573" w:type="pct"/>
          </w:tcPr>
          <w:p w:rsidR="00DB6829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8.2.5.1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410" w:type="pct"/>
          </w:tcPr>
          <w:p w:rsidR="00714B58" w:rsidRPr="00300FA1" w:rsidRDefault="009C139A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highlight w:val="yellow"/>
              </w:rPr>
            </w:pPr>
            <w:r w:rsidRPr="00300FA1">
              <w:rPr>
                <w:rFonts w:ascii="Noto Sans" w:hAnsi="Noto Sans" w:cs="Noto Sans"/>
                <w:sz w:val="18"/>
              </w:rPr>
              <w:t>Por el pago de los servicios generales recibidos en la Entidad.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2.1.1.2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1.1.1.2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8.2.7.1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Presupuesto de Egresos Pagado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8.2.6.1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Presupuesto de Egresos Ejercido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410" w:type="pct"/>
          </w:tcPr>
          <w:p w:rsidR="00714B58" w:rsidRPr="00300FA1" w:rsidRDefault="00DB6829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expedición de la orden de pago para cubrir las retenciones de Ley, incluyendo los derivados de la penalización por incumplimiento de contrato.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Orden de pago o documento equivalente.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8.2.6.1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Presupuesto de Egreso Ejercido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8.2.5.1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10</w:t>
            </w:r>
          </w:p>
        </w:tc>
        <w:tc>
          <w:tcPr>
            <w:tcW w:w="1410" w:type="pct"/>
          </w:tcPr>
          <w:p w:rsidR="00714B58" w:rsidRPr="00300FA1" w:rsidRDefault="00714B58" w:rsidP="00761F21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compensación del pago de las retenciones</w:t>
            </w:r>
            <w:r w:rsidR="00761F21" w:rsidRPr="00300FA1">
              <w:rPr>
                <w:rFonts w:ascii="Noto Sans" w:hAnsi="Noto Sans" w:cs="Noto Sans"/>
                <w:sz w:val="18"/>
              </w:rPr>
              <w:t xml:space="preserve"> de Ley y penalizaciones</w:t>
            </w:r>
            <w:r w:rsidRPr="00300FA1">
              <w:rPr>
                <w:rFonts w:ascii="Noto Sans" w:hAnsi="Noto Sans" w:cs="Noto Sans"/>
                <w:sz w:val="18"/>
              </w:rPr>
              <w:t xml:space="preserve"> por servicios recibidos por parte del ente público.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rPr>
                <w:rFonts w:ascii="Noto Sans" w:hAnsi="Noto Sans" w:cs="Noto Sans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DB6829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2.1.1.7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Retenciones por Contribuciones por pagar a CP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1.1.1.2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</w:tcPr>
          <w:p w:rsidR="00DB6829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8.2.7.1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Pagados</w:t>
            </w:r>
          </w:p>
        </w:tc>
        <w:tc>
          <w:tcPr>
            <w:tcW w:w="573" w:type="pct"/>
          </w:tcPr>
          <w:p w:rsidR="00DB6829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8.2.6.1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Presupuesto de Egresos Ejercido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8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DB6829" w:rsidP="00714B58">
            <w:pPr>
              <w:spacing w:before="120"/>
              <w:ind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300FA1">
              <w:rPr>
                <w:rFonts w:ascii="Noto Sans" w:hAnsi="Noto Sans" w:cs="Noto Sans"/>
                <w:b/>
              </w:rPr>
              <w:t>OTROS SERVICIOS GENERALES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11</w:t>
            </w:r>
          </w:p>
        </w:tc>
        <w:tc>
          <w:tcPr>
            <w:tcW w:w="1410" w:type="pct"/>
          </w:tcPr>
          <w:p w:rsidR="00714B58" w:rsidRPr="00300FA1" w:rsidRDefault="00013C89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los contratos firmados para la recepción de otros servicios generales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Contratos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8.2.2.1 </w:t>
            </w:r>
            <w:r w:rsidRPr="00300FA1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160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12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devengado de los servicios generales recibidos, incluye IVA</w:t>
            </w:r>
            <w:r w:rsidR="00761F21" w:rsidRPr="00300FA1">
              <w:rPr>
                <w:rFonts w:ascii="Noto Sans" w:hAnsi="Noto Sans" w:cs="Noto Sans"/>
                <w:sz w:val="18"/>
              </w:rPr>
              <w:t xml:space="preserve"> y las retenciones de Ley o penalizaciones por incumplimiento.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Contrato, factura, recibo o documento equivalente.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5.1.3.1  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</w:t>
            </w:r>
          </w:p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a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13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5.1.3.9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Servicios Generales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2.1.1.7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3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Retenciones 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y Contribuciones por Pagar a CP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152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152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13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expedición de la orden de pago o contra recibo para el pago de servicios generales.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Orden de pago o documento equivalente.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8.2.6.1 </w:t>
            </w:r>
            <w:r w:rsidRPr="00300FA1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8.2.5.1 </w:t>
            </w:r>
            <w:r w:rsidRPr="00300FA1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268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14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pago de los servicios generales recibidos en la Entidad.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05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15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expedición de la orden de pago por concepto de retenciones</w:t>
            </w:r>
            <w:r w:rsidR="00761F21" w:rsidRPr="00300FA1">
              <w:rPr>
                <w:rFonts w:ascii="Noto Sans" w:hAnsi="Noto Sans" w:cs="Noto Sans"/>
                <w:sz w:val="18"/>
              </w:rPr>
              <w:t xml:space="preserve"> y/o penalizaciones</w:t>
            </w:r>
            <w:r w:rsidRPr="00300FA1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Orden de pago o documento equivalente.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8.2.6.1 </w:t>
            </w:r>
            <w:r w:rsidRPr="00300FA1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8.2.5.1 </w:t>
            </w:r>
            <w:r w:rsidRPr="00300FA1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77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16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pago de retenciones de Ley y las penalizaciones por incumplimiento de contrato.</w:t>
            </w:r>
          </w:p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2.1.1.7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3</w:t>
            </w:r>
          </w:p>
          <w:p w:rsidR="00714B58" w:rsidRPr="00300FA1" w:rsidRDefault="00714B58" w:rsidP="00761F21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Retenciones y Contribuciones por Pagar a CP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77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center"/>
              <w:rPr>
                <w:rFonts w:ascii="Noto Sans" w:hAnsi="Noto Sans" w:cs="Noto Sans"/>
                <w:b/>
                <w:sz w:val="18"/>
              </w:rPr>
            </w:pPr>
            <w:r w:rsidRPr="00300FA1">
              <w:rPr>
                <w:rFonts w:ascii="Noto Sans" w:hAnsi="Noto Sans" w:cs="Noto Sans"/>
                <w:b/>
                <w:sz w:val="18"/>
              </w:rPr>
              <w:t xml:space="preserve">VIÁTICOS – EJERCIDO PREVIO 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038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17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compromiso de viáticos asignados.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Oficio de comisión.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8.2.2.1 </w:t>
            </w:r>
            <w:r w:rsidRPr="00300FA1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18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devengado de la asignación de viáticos.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Oficio de comisión.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19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expedición de la orden de pago o contra recibo para el pago de los viáticos.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Orden de pago o </w:t>
            </w:r>
            <w:proofErr w:type="spellStart"/>
            <w:r w:rsidRPr="00300FA1">
              <w:rPr>
                <w:rFonts w:ascii="Noto Sans" w:hAnsi="Noto Sans" w:cs="Noto Sans"/>
                <w:sz w:val="18"/>
              </w:rPr>
              <w:t>contrarecibo</w:t>
            </w:r>
            <w:proofErr w:type="spellEnd"/>
            <w:r w:rsidRPr="00300FA1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8.2.6.1 </w:t>
            </w:r>
            <w:r w:rsidRPr="00300FA1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8.2.5.1 </w:t>
            </w:r>
            <w:r w:rsidRPr="00300FA1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20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pago de los viáticos.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Factura o recibo, 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2.1.1.2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8.2.7.1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Pagado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00FA1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8.2.6.1 </w:t>
            </w:r>
            <w:r w:rsidRPr="00300FA1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Egresos Ejercido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198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21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comprobación de los viáticos. Incluye IVA.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Factura o recibo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5.1.3.7 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Servicios de Traslado y Viáticos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1070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1.1.2.9</w:t>
            </w:r>
            <w:r w:rsidRPr="00300FA1">
              <w:rPr>
                <w:rFonts w:ascii="Noto Sans" w:hAnsi="Noto Sans" w:cs="Noto Sans"/>
                <w:snapToGrid w:val="0"/>
                <w:sz w:val="18"/>
                <w:vertAlign w:val="superscript"/>
              </w:rPr>
              <w:t>1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Efectivo o Equivalentes a Corto Plazo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22</w:t>
            </w: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remanente, derivado de la comprobación de los viáticos.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8.2.2.1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8"/>
              </w:rPr>
              <w:t xml:space="preserve"> </w:t>
            </w:r>
            <w:r w:rsidRPr="00300FA1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8.2.4.1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8"/>
              </w:rPr>
              <w:t xml:space="preserve">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</w:p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</w:rPr>
              <w:t>8.2.5.1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8"/>
              </w:rPr>
              <w:t xml:space="preserve"> </w:t>
            </w:r>
            <w:r w:rsidRPr="00300FA1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8.2.6.1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8"/>
              </w:rPr>
              <w:t xml:space="preserve"> </w:t>
            </w:r>
            <w:r w:rsidRPr="00300FA1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8.2.6.1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00FA1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8.2.7.1</w:t>
            </w:r>
            <w:r w:rsidRPr="00300FA1">
              <w:rPr>
                <w:rFonts w:ascii="Noto Sans" w:hAnsi="Noto Sans" w:cs="Noto Sans"/>
                <w:sz w:val="18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00FA1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b/>
                <w:sz w:val="18"/>
              </w:rPr>
            </w:pPr>
            <w:r w:rsidRPr="00300FA1">
              <w:rPr>
                <w:rFonts w:ascii="Noto Sans" w:hAnsi="Noto Sans" w:cs="Noto Sans"/>
                <w:b/>
                <w:sz w:val="18"/>
              </w:rPr>
              <w:t>VIÁTICOS – EJERCIDO CON COMPROBACIÓN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shd w:val="clear" w:color="auto" w:fill="auto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</w:t>
            </w:r>
            <w:r w:rsidR="00B018C8" w:rsidRPr="00300FA1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410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los recursos entregados por concepto de viáticos.</w:t>
            </w:r>
          </w:p>
        </w:tc>
        <w:tc>
          <w:tcPr>
            <w:tcW w:w="667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bancaria, cheque.</w:t>
            </w:r>
          </w:p>
        </w:tc>
        <w:tc>
          <w:tcPr>
            <w:tcW w:w="478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1.1.2.3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74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shd w:val="clear" w:color="auto" w:fill="auto"/>
          </w:tcPr>
          <w:p w:rsidR="00714B58" w:rsidRPr="00300FA1" w:rsidRDefault="00714B58" w:rsidP="00714B58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</w:t>
            </w:r>
            <w:r w:rsidR="00B018C8" w:rsidRPr="00300FA1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410" w:type="pct"/>
            <w:shd w:val="clear" w:color="auto" w:fill="auto"/>
          </w:tcPr>
          <w:p w:rsidR="00714B58" w:rsidRPr="00300FA1" w:rsidRDefault="00714B58" w:rsidP="00714B58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la comprobación de recursos por los viáticos erogados.</w:t>
            </w:r>
          </w:p>
        </w:tc>
        <w:tc>
          <w:tcPr>
            <w:tcW w:w="667" w:type="pct"/>
            <w:shd w:val="clear" w:color="auto" w:fill="auto"/>
          </w:tcPr>
          <w:p w:rsidR="00714B58" w:rsidRPr="00300FA1" w:rsidRDefault="00714B58" w:rsidP="00714B58">
            <w:pPr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Facturas, notas de compra, informe de viático.</w:t>
            </w:r>
          </w:p>
        </w:tc>
        <w:tc>
          <w:tcPr>
            <w:tcW w:w="478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 xml:space="preserve">5.1.3.7  </w:t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Servicios de Traslado y Viáticos</w:t>
            </w: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1.1.2.3</w:t>
            </w:r>
            <w:r w:rsidRPr="00300FA1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74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  <w:tc>
          <w:tcPr>
            <w:tcW w:w="573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8.2.2.1 </w:t>
            </w:r>
            <w:r w:rsidRPr="00300FA1">
              <w:rPr>
                <w:rFonts w:ascii="Noto Sans" w:hAnsi="Noto Sans" w:cs="Noto Sans"/>
                <w:sz w:val="14"/>
              </w:rPr>
              <w:t>Presupuesto de Egresos por Ejercer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shd w:val="clear" w:color="auto" w:fill="auto"/>
          </w:tcPr>
          <w:p w:rsidR="00714B58" w:rsidRPr="00300FA1" w:rsidRDefault="00714B58" w:rsidP="00714B58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  <w:shd w:val="clear" w:color="auto" w:fill="auto"/>
          </w:tcPr>
          <w:p w:rsidR="00714B58" w:rsidRPr="00300FA1" w:rsidRDefault="00714B58" w:rsidP="00714B58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shd w:val="clear" w:color="auto" w:fill="auto"/>
          </w:tcPr>
          <w:p w:rsidR="00714B58" w:rsidRPr="00300FA1" w:rsidRDefault="00714B58" w:rsidP="00714B58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widowControl w:val="0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73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8.2.4.1 </w:t>
            </w:r>
            <w:r w:rsidRPr="00300FA1">
              <w:rPr>
                <w:rFonts w:ascii="Noto Sans" w:hAnsi="Noto Sans" w:cs="Noto Sans"/>
                <w:sz w:val="14"/>
              </w:rPr>
              <w:t>Presupuesto de Egresos Comprometido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shd w:val="clear" w:color="auto" w:fill="auto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8.2.6.1 </w:t>
            </w:r>
            <w:r w:rsidRPr="00300FA1">
              <w:rPr>
                <w:rFonts w:ascii="Noto Sans" w:hAnsi="Noto Sans" w:cs="Noto Sans"/>
                <w:sz w:val="14"/>
              </w:rPr>
              <w:t>Presupuesto de Egresos Ejercido</w:t>
            </w:r>
          </w:p>
        </w:tc>
        <w:tc>
          <w:tcPr>
            <w:tcW w:w="573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 xml:space="preserve">8.2.5.1 </w:t>
            </w:r>
            <w:r w:rsidRPr="00300FA1">
              <w:rPr>
                <w:rFonts w:ascii="Noto Sans" w:hAnsi="Noto Sans" w:cs="Noto Sans"/>
                <w:sz w:val="14"/>
              </w:rPr>
              <w:t>Presupuesto de Egresos Devengado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shd w:val="clear" w:color="auto" w:fill="auto"/>
          </w:tcPr>
          <w:p w:rsidR="00714B58" w:rsidRPr="00300FA1" w:rsidRDefault="00714B58" w:rsidP="00714B58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478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4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 xml:space="preserve">8.2.7.1 </w:t>
            </w:r>
            <w:r w:rsidRPr="00300FA1">
              <w:rPr>
                <w:rFonts w:ascii="Noto Sans" w:hAnsi="Noto Sans" w:cs="Noto Sans"/>
                <w:sz w:val="14"/>
                <w:szCs w:val="18"/>
              </w:rPr>
              <w:t>Presupuesto de Egresos Pagado</w:t>
            </w:r>
          </w:p>
        </w:tc>
        <w:tc>
          <w:tcPr>
            <w:tcW w:w="573" w:type="pct"/>
            <w:shd w:val="clear" w:color="auto" w:fill="auto"/>
          </w:tcPr>
          <w:p w:rsidR="00714B58" w:rsidRPr="00300FA1" w:rsidRDefault="00714B58" w:rsidP="00714B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300FA1">
              <w:rPr>
                <w:rFonts w:ascii="Noto Sans" w:hAnsi="Noto Sans" w:cs="Noto Sans"/>
                <w:sz w:val="14"/>
                <w:szCs w:val="18"/>
              </w:rPr>
              <w:t>Presupuesto de Egresos Ejercido</w:t>
            </w: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shd w:val="clear" w:color="auto" w:fill="auto"/>
          </w:tcPr>
          <w:p w:rsidR="00714B58" w:rsidRPr="00300FA1" w:rsidRDefault="00714B58" w:rsidP="00CA5DDB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00FA1">
              <w:rPr>
                <w:rFonts w:ascii="Noto Sans" w:hAnsi="Noto Sans" w:cs="Noto Sans"/>
                <w:sz w:val="16"/>
                <w:szCs w:val="16"/>
              </w:rPr>
              <w:t>2</w:t>
            </w:r>
            <w:r w:rsidR="00B018C8" w:rsidRPr="00300FA1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410" w:type="pct"/>
            <w:shd w:val="clear" w:color="auto" w:fill="auto"/>
          </w:tcPr>
          <w:p w:rsidR="00714B58" w:rsidRPr="00300FA1" w:rsidRDefault="00714B58" w:rsidP="00CA5DDB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Por el remanente, derivado de la comprobación de los viáticos.</w:t>
            </w:r>
          </w:p>
        </w:tc>
        <w:tc>
          <w:tcPr>
            <w:tcW w:w="667" w:type="pct"/>
            <w:shd w:val="clear" w:color="auto" w:fill="auto"/>
          </w:tcPr>
          <w:p w:rsidR="00714B58" w:rsidRPr="00300FA1" w:rsidRDefault="00714B58" w:rsidP="00CA5DDB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300FA1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478" w:type="pct"/>
            <w:shd w:val="clear" w:color="auto" w:fill="auto"/>
          </w:tcPr>
          <w:p w:rsidR="00714B58" w:rsidRPr="00300FA1" w:rsidRDefault="00714B58" w:rsidP="00CA5DD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CA5DD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300FA1">
              <w:rPr>
                <w:rFonts w:ascii="Noto Sans" w:hAnsi="Noto Sans" w:cs="Noto Sans"/>
                <w:sz w:val="18"/>
                <w:szCs w:val="18"/>
              </w:rPr>
              <w:br/>
            </w:r>
            <w:r w:rsidRPr="00300FA1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2" w:type="pct"/>
            <w:shd w:val="clear" w:color="auto" w:fill="auto"/>
          </w:tcPr>
          <w:p w:rsidR="00714B58" w:rsidRPr="00300FA1" w:rsidRDefault="00714B58" w:rsidP="00CA5DD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00FA1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714B58" w:rsidRPr="00300FA1" w:rsidRDefault="00714B58" w:rsidP="00714B58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00FA1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74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</w:tcPr>
          <w:p w:rsidR="00714B58" w:rsidRPr="00300FA1" w:rsidRDefault="00714B58" w:rsidP="00714B5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D9723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4"/>
              </w:rPr>
            </w:pPr>
            <w:r w:rsidRPr="00300FA1">
              <w:rPr>
                <w:rFonts w:ascii="Noto Sans" w:hAnsi="Noto Sans" w:cs="Noto Sans"/>
                <w:sz w:val="14"/>
              </w:rPr>
              <w:t>NOTA: En caso de que el importe de los viáticos sea mayor a lo entregado, se observarán los registros del 1</w:t>
            </w:r>
            <w:r w:rsidR="00D9723E" w:rsidRPr="00300FA1">
              <w:rPr>
                <w:rFonts w:ascii="Noto Sans" w:hAnsi="Noto Sans" w:cs="Noto Sans"/>
                <w:sz w:val="14"/>
              </w:rPr>
              <w:t>, 6, 7 y 8.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300FA1">
              <w:rPr>
                <w:rFonts w:ascii="Noto Sans" w:hAnsi="Noto Sans" w:cs="Noto Sans"/>
                <w:sz w:val="14"/>
                <w:vertAlign w:val="superscript"/>
              </w:rPr>
              <w:t xml:space="preserve">1 </w:t>
            </w:r>
            <w:r w:rsidRPr="00300FA1">
              <w:rPr>
                <w:rFonts w:ascii="Noto Sans" w:hAnsi="Noto Sans" w:cs="Noto Sans"/>
                <w:sz w:val="14"/>
              </w:rPr>
              <w:t xml:space="preserve">Las Entidades sujetas al </w:t>
            </w:r>
            <w:proofErr w:type="spellStart"/>
            <w:r w:rsidRPr="00300FA1">
              <w:rPr>
                <w:rFonts w:ascii="Noto Sans" w:hAnsi="Noto Sans" w:cs="Noto Sans"/>
                <w:sz w:val="14"/>
              </w:rPr>
              <w:t>acreditamiento</w:t>
            </w:r>
            <w:proofErr w:type="spellEnd"/>
            <w:r w:rsidRPr="00300FA1">
              <w:rPr>
                <w:rFonts w:ascii="Noto Sans" w:hAnsi="Noto Sans" w:cs="Noto Sans"/>
                <w:sz w:val="14"/>
              </w:rPr>
              <w:t xml:space="preserve"> del IVA determinarán una subcuenta para su manejo.</w:t>
            </w:r>
          </w:p>
          <w:p w:rsidR="00714B58" w:rsidRPr="00300FA1" w:rsidRDefault="00714B58" w:rsidP="00714B58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300FA1">
              <w:rPr>
                <w:rFonts w:ascii="Noto Sans" w:hAnsi="Noto Sans" w:cs="Noto Sans"/>
                <w:sz w:val="14"/>
              </w:rPr>
              <w:t xml:space="preserve">Se deberá llevar el control detallado de las operaciones de los ingresos exentos y gravados, incluyendo los recursos fiscales, así como de las erogaciones identificadas con los mismos, para sustentar su </w:t>
            </w:r>
            <w:proofErr w:type="spellStart"/>
            <w:r w:rsidRPr="00300FA1">
              <w:rPr>
                <w:rFonts w:ascii="Noto Sans" w:hAnsi="Noto Sans" w:cs="Noto Sans"/>
                <w:sz w:val="14"/>
              </w:rPr>
              <w:t>acreditamiento</w:t>
            </w:r>
            <w:proofErr w:type="spellEnd"/>
            <w:r w:rsidRPr="00300FA1">
              <w:rPr>
                <w:rFonts w:ascii="Noto Sans" w:hAnsi="Noto Sans" w:cs="Noto Sans"/>
                <w:sz w:val="14"/>
              </w:rPr>
              <w:t xml:space="preserve"> y emitir la información que se requiera.</w:t>
            </w:r>
          </w:p>
          <w:p w:rsidR="00714B58" w:rsidRPr="00300FA1" w:rsidRDefault="00714B58" w:rsidP="00714B58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300FA1">
              <w:rPr>
                <w:rFonts w:ascii="Noto Sans" w:hAnsi="Noto Sans" w:cs="Noto Sans"/>
                <w:sz w:val="14"/>
              </w:rPr>
              <w:t xml:space="preserve">Cuando se trate de IVA pagado no acreditable, deberá registrarse en el Gasto o en el Activo correspondiente en el ejercicio en que se realice la </w:t>
            </w:r>
            <w:bookmarkStart w:id="0" w:name="_GoBack"/>
            <w:bookmarkEnd w:id="0"/>
            <w:r w:rsidRPr="00300FA1">
              <w:rPr>
                <w:rFonts w:ascii="Noto Sans" w:hAnsi="Noto Sans" w:cs="Noto Sans"/>
                <w:sz w:val="14"/>
              </w:rPr>
              <w:t>erogación, con su respectiva afectación presupuestaria</w:t>
            </w:r>
          </w:p>
          <w:p w:rsidR="00714B58" w:rsidRPr="00300FA1" w:rsidRDefault="00714B58" w:rsidP="00714B58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  <w:vertAlign w:val="superscript"/>
              </w:rPr>
            </w:pPr>
            <w:r w:rsidRPr="00300FA1">
              <w:rPr>
                <w:rFonts w:ascii="Noto Sans" w:hAnsi="Noto Sans" w:cs="Noto Sans"/>
                <w:sz w:val="14"/>
              </w:rPr>
              <w:t>El registro de la acreditación del IVA está correlacionado con la Guía 27.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300FA1">
              <w:rPr>
                <w:rFonts w:ascii="Noto Sans" w:hAnsi="Noto Sans" w:cs="Noto Sans"/>
                <w:sz w:val="14"/>
                <w:vertAlign w:val="superscript"/>
              </w:rPr>
              <w:t>2</w:t>
            </w:r>
            <w:r w:rsidRPr="00300FA1">
              <w:rPr>
                <w:rFonts w:ascii="Noto Sans" w:hAnsi="Noto Sans" w:cs="Noto Sans"/>
                <w:sz w:val="14"/>
              </w:rPr>
              <w:t xml:space="preserve"> Las cuentas de presupuesto se manejan de forma simultánea, por la devolución de los recursos.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14B58" w:rsidRPr="00300FA1" w:rsidTr="00D9723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14B58" w:rsidRPr="00300FA1" w:rsidRDefault="00714B58" w:rsidP="00714B5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10" w:type="pct"/>
          </w:tcPr>
          <w:p w:rsidR="00714B58" w:rsidRPr="00300FA1" w:rsidRDefault="00714B58" w:rsidP="00714B58">
            <w:pPr>
              <w:spacing w:before="120"/>
              <w:ind w:right="57"/>
              <w:jc w:val="both"/>
              <w:rPr>
                <w:rFonts w:ascii="Noto Sans" w:hAnsi="Noto Sans" w:cs="Noto Sans"/>
                <w:sz w:val="14"/>
              </w:rPr>
            </w:pPr>
            <w:r w:rsidRPr="00300FA1">
              <w:rPr>
                <w:rFonts w:ascii="Noto Sans" w:hAnsi="Noto Sans" w:cs="Noto Sans"/>
                <w:sz w:val="14"/>
                <w:vertAlign w:val="superscript"/>
              </w:rPr>
              <w:t>3</w:t>
            </w:r>
            <w:r w:rsidRPr="00300FA1">
              <w:rPr>
                <w:rFonts w:ascii="Noto Sans" w:hAnsi="Noto Sans" w:cs="Noto Sans"/>
                <w:sz w:val="14"/>
              </w:rPr>
              <w:t xml:space="preserve"> Se harán las retenciones correspondientes por los Servicios Profesionales, Científicos y Técnicos y Otros Servicios, cuando se requiera.</w:t>
            </w:r>
          </w:p>
        </w:tc>
        <w:tc>
          <w:tcPr>
            <w:tcW w:w="667" w:type="pct"/>
          </w:tcPr>
          <w:p w:rsidR="00714B58" w:rsidRPr="00300FA1" w:rsidRDefault="00714B58" w:rsidP="00714B5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</w:tcPr>
          <w:p w:rsidR="00714B58" w:rsidRPr="00300FA1" w:rsidRDefault="00714B58" w:rsidP="00714B5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42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4" w:type="pct"/>
          </w:tcPr>
          <w:p w:rsidR="00714B58" w:rsidRPr="00300FA1" w:rsidRDefault="00714B58" w:rsidP="00714B58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3" w:type="pct"/>
          </w:tcPr>
          <w:p w:rsidR="00714B58" w:rsidRPr="00300FA1" w:rsidRDefault="00714B58" w:rsidP="00714B5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300FA1" w:rsidRDefault="00E8591C" w:rsidP="007F2D64">
      <w:pPr>
        <w:rPr>
          <w:rFonts w:ascii="Noto Sans" w:hAnsi="Noto Sans" w:cs="Noto Sans"/>
          <w:sz w:val="8"/>
        </w:rPr>
      </w:pPr>
    </w:p>
    <w:sectPr w:rsidR="00E8591C" w:rsidRPr="00300FA1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3B9" w:rsidRDefault="00F703B9">
      <w:r>
        <w:separator/>
      </w:r>
    </w:p>
  </w:endnote>
  <w:endnote w:type="continuationSeparator" w:id="0">
    <w:p w:rsidR="00F703B9" w:rsidRDefault="00F7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 Regular"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A1" w:rsidRDefault="00300FA1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300FA1" w:rsidRDefault="00300FA1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300FA1" w:rsidRDefault="00300FA1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300FA1" w:rsidRDefault="00300FA1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300FA1" w:rsidRDefault="00300FA1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8044C2" w:rsidRPr="00EB2FF9" w:rsidRDefault="008044C2" w:rsidP="00D5126F">
    <w:pPr>
      <w:pStyle w:val="Piedepgina"/>
      <w:jc w:val="right"/>
      <w:rPr>
        <w:rFonts w:ascii="Geomanist" w:hAnsi="Geomanist" w:cs="Arial"/>
        <w:b/>
        <w:sz w:val="16"/>
      </w:rPr>
    </w:pPr>
    <w:r w:rsidRPr="00EB2FF9">
      <w:rPr>
        <w:rFonts w:ascii="Geomanist" w:hAnsi="Geomanist" w:cs="Arial"/>
        <w:b/>
        <w:sz w:val="16"/>
      </w:rPr>
      <w:fldChar w:fldCharType="begin"/>
    </w:r>
    <w:r w:rsidRPr="00EB2FF9">
      <w:rPr>
        <w:rFonts w:ascii="Geomanist" w:hAnsi="Geomanist" w:cs="Arial"/>
        <w:b/>
        <w:sz w:val="16"/>
      </w:rPr>
      <w:instrText xml:space="preserve"> PAGE   \* MERGEFORMAT </w:instrText>
    </w:r>
    <w:r w:rsidRPr="00EB2FF9">
      <w:rPr>
        <w:rFonts w:ascii="Geomanist" w:hAnsi="Geomanist" w:cs="Arial"/>
        <w:b/>
        <w:sz w:val="16"/>
      </w:rPr>
      <w:fldChar w:fldCharType="separate"/>
    </w:r>
    <w:r w:rsidR="00300FA1" w:rsidRPr="00300FA1">
      <w:rPr>
        <w:rFonts w:ascii="Geomanist" w:hAnsi="Geomanist"/>
        <w:b/>
        <w:noProof/>
        <w:sz w:val="16"/>
      </w:rPr>
      <w:t>6</w:t>
    </w:r>
    <w:r w:rsidRPr="00EB2FF9">
      <w:rPr>
        <w:rFonts w:ascii="Geomanist" w:hAnsi="Geomanist" w:cs="Arial"/>
        <w:b/>
        <w:sz w:val="16"/>
      </w:rPr>
      <w:fldChar w:fldCharType="end"/>
    </w:r>
  </w:p>
  <w:p w:rsidR="008044C2" w:rsidRPr="00300FA1" w:rsidRDefault="00EB2FF9" w:rsidP="00300FA1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300FA1">
      <w:rPr>
        <w:rFonts w:ascii="Noto Sans" w:hAnsi="Noto Sans" w:cs="Noto Sans"/>
        <w:b/>
        <w:sz w:val="16"/>
        <w:szCs w:val="16"/>
      </w:rPr>
      <w:t>VIGENTE A PARTIR DEL 01-01-2025</w:t>
    </w:r>
  </w:p>
  <w:p w:rsidR="008044C2" w:rsidRPr="00300FA1" w:rsidRDefault="008044C2" w:rsidP="00300FA1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300FA1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8044C2" w:rsidRPr="00300FA1" w:rsidRDefault="008044C2" w:rsidP="00300FA1">
    <w:pPr>
      <w:pStyle w:val="Piedepgina"/>
      <w:jc w:val="right"/>
      <w:rPr>
        <w:rFonts w:ascii="Noto Sans" w:hAnsi="Noto Sans" w:cs="Noto Sans"/>
        <w:b/>
        <w:sz w:val="16"/>
      </w:rPr>
    </w:pPr>
    <w:r w:rsidRPr="00300FA1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8044C2" w:rsidRPr="00300FA1" w:rsidRDefault="008044C2" w:rsidP="00300FA1">
    <w:pPr>
      <w:pStyle w:val="Piedepgina"/>
      <w:ind w:left="425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3B9" w:rsidRDefault="00F703B9">
      <w:r>
        <w:separator/>
      </w:r>
    </w:p>
  </w:footnote>
  <w:footnote w:type="continuationSeparator" w:id="0">
    <w:p w:rsidR="00F703B9" w:rsidRDefault="00F7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C2" w:rsidRPr="00300FA1" w:rsidRDefault="00300FA1" w:rsidP="005A558F">
    <w:pPr>
      <w:rPr>
        <w:rFonts w:ascii="Noto Sans" w:hAnsi="Noto Sans" w:cs="Noto Sans"/>
        <w:b/>
        <w:color w:val="7F7F7F"/>
        <w:sz w:val="16"/>
        <w:szCs w:val="18"/>
      </w:rPr>
    </w:pPr>
    <w:r w:rsidRPr="00300FA1">
      <w:rPr>
        <w:rFonts w:ascii="Noto Sans" w:hAnsi="Noto Sans" w:cs="Noto Sans"/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4025B58E" wp14:editId="01B2D983">
          <wp:simplePos x="0" y="0"/>
          <wp:positionH relativeFrom="page">
            <wp:align>left</wp:align>
          </wp:positionH>
          <wp:positionV relativeFrom="paragraph">
            <wp:posOffset>-599059</wp:posOffset>
          </wp:positionV>
          <wp:extent cx="7795260" cy="1037295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6780" cy="1037497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1317A" w:rsidRPr="00300FA1">
      <w:rPr>
        <w:rFonts w:ascii="Noto Sans" w:hAnsi="Noto Sans" w:cs="Noto Sans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505B004F">
              <wp:simplePos x="0" y="0"/>
              <wp:positionH relativeFrom="margin">
                <wp:posOffset>2487930</wp:posOffset>
              </wp:positionH>
              <wp:positionV relativeFrom="paragraph">
                <wp:posOffset>5080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44C2" w:rsidRDefault="008044C2" w:rsidP="009514E5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8044C2" w:rsidRPr="00EB2FF9" w:rsidRDefault="008044C2" w:rsidP="009514E5">
                          <w:pPr>
                            <w:pStyle w:val="Encabezado"/>
                            <w:jc w:val="right"/>
                            <w:rPr>
                              <w:rFonts w:ascii="Geomanist" w:hAnsi="Geomanist"/>
                              <w:sz w:val="18"/>
                            </w:rPr>
                          </w:pPr>
                          <w:r w:rsidRPr="00EB2FF9">
                            <w:rPr>
                              <w:rFonts w:ascii="Geomanist" w:hAnsi="Geomanist"/>
                              <w:sz w:val="18"/>
                            </w:rPr>
                            <w:t>Unidad de Administración y Finanzas</w:t>
                          </w:r>
                        </w:p>
                        <w:p w:rsidR="008044C2" w:rsidRPr="00EB2FF9" w:rsidRDefault="008044C2" w:rsidP="009514E5">
                          <w:pPr>
                            <w:pStyle w:val="Encabezado"/>
                            <w:jc w:val="right"/>
                            <w:rPr>
                              <w:rFonts w:ascii="Geomanist" w:hAnsi="Geomanist"/>
                              <w:sz w:val="18"/>
                            </w:rPr>
                          </w:pPr>
                          <w:r w:rsidRPr="00EB2FF9">
                            <w:rPr>
                              <w:rFonts w:ascii="Geomanist" w:hAnsi="Geomanist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8044C2" w:rsidRPr="00495294" w:rsidRDefault="008044C2" w:rsidP="009514E5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5.9pt;margin-top:.4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EaoXI9wAAAAH&#10;AQAADwAAAAAAAAAAAAAAAAAPBQAAZHJzL2Rvd25yZXYueG1sUEsFBgAAAAAEAAQA8wAAABgGAAAA&#10;AA==&#10;" filled="f" stroked="f" strokeweight="3e-5mm">
              <v:textbox>
                <w:txbxContent>
                  <w:p w:rsidR="008044C2" w:rsidRDefault="008044C2" w:rsidP="009514E5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8044C2" w:rsidRPr="00EB2FF9" w:rsidRDefault="008044C2" w:rsidP="009514E5">
                    <w:pPr>
                      <w:pStyle w:val="Encabezado"/>
                      <w:jc w:val="right"/>
                      <w:rPr>
                        <w:rFonts w:ascii="Geomanist" w:hAnsi="Geomanist"/>
                        <w:sz w:val="18"/>
                      </w:rPr>
                    </w:pPr>
                    <w:r w:rsidRPr="00EB2FF9">
                      <w:rPr>
                        <w:rFonts w:ascii="Geomanist" w:hAnsi="Geomanist"/>
                        <w:sz w:val="18"/>
                      </w:rPr>
                      <w:t>Unidad de Administración y Finanzas</w:t>
                    </w:r>
                  </w:p>
                  <w:p w:rsidR="008044C2" w:rsidRPr="00EB2FF9" w:rsidRDefault="008044C2" w:rsidP="009514E5">
                    <w:pPr>
                      <w:pStyle w:val="Encabezado"/>
                      <w:jc w:val="right"/>
                      <w:rPr>
                        <w:rFonts w:ascii="Geomanist" w:hAnsi="Geomanist"/>
                        <w:sz w:val="18"/>
                      </w:rPr>
                    </w:pPr>
                    <w:r w:rsidRPr="00EB2FF9">
                      <w:rPr>
                        <w:rFonts w:ascii="Geomanist" w:hAnsi="Geomanist"/>
                        <w:sz w:val="18"/>
                      </w:rPr>
                      <w:t>Dirección General de Programación y Presupuesto</w:t>
                    </w:r>
                  </w:p>
                  <w:p w:rsidR="008044C2" w:rsidRPr="00495294" w:rsidRDefault="008044C2" w:rsidP="009514E5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8044C2" w:rsidRPr="00300FA1" w:rsidRDefault="008044C2" w:rsidP="005A558F">
    <w:pPr>
      <w:rPr>
        <w:rFonts w:ascii="Noto Sans" w:hAnsi="Noto Sans" w:cs="Noto Sans"/>
        <w:b/>
        <w:color w:val="7F7F7F"/>
        <w:sz w:val="16"/>
        <w:szCs w:val="18"/>
      </w:rPr>
    </w:pPr>
  </w:p>
  <w:p w:rsidR="008044C2" w:rsidRPr="00300FA1" w:rsidRDefault="008044C2" w:rsidP="005A558F">
    <w:pPr>
      <w:rPr>
        <w:rFonts w:ascii="Noto Sans" w:hAnsi="Noto Sans" w:cs="Noto Sans"/>
        <w:b/>
        <w:color w:val="7F7F7F"/>
        <w:sz w:val="16"/>
        <w:szCs w:val="18"/>
      </w:rPr>
    </w:pPr>
  </w:p>
  <w:p w:rsidR="008044C2" w:rsidRPr="00300FA1" w:rsidRDefault="008044C2" w:rsidP="005A558F">
    <w:pPr>
      <w:rPr>
        <w:rFonts w:ascii="Noto Sans" w:hAnsi="Noto Sans" w:cs="Noto Sans"/>
        <w:b/>
        <w:color w:val="7F7F7F"/>
        <w:sz w:val="16"/>
        <w:szCs w:val="18"/>
      </w:rPr>
    </w:pPr>
  </w:p>
  <w:p w:rsidR="008044C2" w:rsidRPr="00300FA1" w:rsidRDefault="008044C2" w:rsidP="005A558F">
    <w:pPr>
      <w:rPr>
        <w:rFonts w:ascii="Noto Sans" w:hAnsi="Noto Sans" w:cs="Noto Sans"/>
        <w:b/>
        <w:color w:val="7F7F7F"/>
        <w:sz w:val="16"/>
        <w:szCs w:val="18"/>
      </w:rPr>
    </w:pPr>
  </w:p>
  <w:p w:rsidR="008044C2" w:rsidRPr="00300FA1" w:rsidRDefault="008044C2" w:rsidP="005A558F">
    <w:pPr>
      <w:rPr>
        <w:rFonts w:ascii="Noto Sans" w:hAnsi="Noto Sans" w:cs="Noto Sans"/>
        <w:b/>
        <w:color w:val="7F7F7F"/>
        <w:sz w:val="16"/>
        <w:szCs w:val="18"/>
      </w:rPr>
    </w:pPr>
  </w:p>
  <w:tbl>
    <w:tblPr>
      <w:tblW w:w="5000" w:type="pct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8044C2" w:rsidRPr="00300FA1" w:rsidTr="00300FA1">
      <w:trPr>
        <w:trHeight w:val="227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8044C2" w:rsidRPr="00300FA1" w:rsidRDefault="008044C2" w:rsidP="005A558F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300FA1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8044C2" w:rsidRPr="00300FA1" w:rsidRDefault="008044C2" w:rsidP="005A558F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8044C2" w:rsidRPr="00300FA1" w:rsidTr="008604B6">
      <w:trPr>
        <w:trHeight w:val="231"/>
      </w:trPr>
      <w:tc>
        <w:tcPr>
          <w:tcW w:w="5000" w:type="pct"/>
          <w:vAlign w:val="center"/>
        </w:tcPr>
        <w:p w:rsidR="008044C2" w:rsidRPr="00300FA1" w:rsidRDefault="008044C2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300FA1">
            <w:rPr>
              <w:rFonts w:ascii="Noto Sans" w:hAnsi="Noto Sans" w:cs="Noto Sans"/>
              <w:sz w:val="18"/>
              <w:szCs w:val="22"/>
              <w:lang w:val="es-MX" w:eastAsia="en-US"/>
            </w:rPr>
            <w:t>13.- SERVICIOS GENERALES</w:t>
          </w:r>
        </w:p>
      </w:tc>
    </w:tr>
  </w:tbl>
  <w:p w:rsidR="008044C2" w:rsidRPr="00300FA1" w:rsidRDefault="008044C2" w:rsidP="002657F3">
    <w:pPr>
      <w:pStyle w:val="Encabezado"/>
      <w:rPr>
        <w:rFonts w:ascii="Noto Sans" w:hAnsi="Noto Sans" w:cs="Noto Sans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3C89"/>
    <w:rsid w:val="00016D5D"/>
    <w:rsid w:val="00017BA0"/>
    <w:rsid w:val="000217BB"/>
    <w:rsid w:val="0002255E"/>
    <w:rsid w:val="00025EA6"/>
    <w:rsid w:val="0003013F"/>
    <w:rsid w:val="000313F6"/>
    <w:rsid w:val="0003378C"/>
    <w:rsid w:val="0004475E"/>
    <w:rsid w:val="00044953"/>
    <w:rsid w:val="00050083"/>
    <w:rsid w:val="00051FAA"/>
    <w:rsid w:val="00063A84"/>
    <w:rsid w:val="00066E32"/>
    <w:rsid w:val="00067C2C"/>
    <w:rsid w:val="00073539"/>
    <w:rsid w:val="000755A7"/>
    <w:rsid w:val="00083B79"/>
    <w:rsid w:val="00086E7B"/>
    <w:rsid w:val="00087969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D78F3"/>
    <w:rsid w:val="000E3425"/>
    <w:rsid w:val="000E44A8"/>
    <w:rsid w:val="000E5003"/>
    <w:rsid w:val="000E5C09"/>
    <w:rsid w:val="000E5D6E"/>
    <w:rsid w:val="000F4857"/>
    <w:rsid w:val="00103F9E"/>
    <w:rsid w:val="00106274"/>
    <w:rsid w:val="00117799"/>
    <w:rsid w:val="00120CA5"/>
    <w:rsid w:val="00121788"/>
    <w:rsid w:val="00122383"/>
    <w:rsid w:val="001232BD"/>
    <w:rsid w:val="0012786C"/>
    <w:rsid w:val="00131A05"/>
    <w:rsid w:val="001373C7"/>
    <w:rsid w:val="001373DF"/>
    <w:rsid w:val="00145715"/>
    <w:rsid w:val="00146896"/>
    <w:rsid w:val="00151AA6"/>
    <w:rsid w:val="001522BE"/>
    <w:rsid w:val="00161658"/>
    <w:rsid w:val="00161896"/>
    <w:rsid w:val="001708B6"/>
    <w:rsid w:val="00172E89"/>
    <w:rsid w:val="00175F56"/>
    <w:rsid w:val="00177A68"/>
    <w:rsid w:val="001821F9"/>
    <w:rsid w:val="00182421"/>
    <w:rsid w:val="00184E2B"/>
    <w:rsid w:val="00190FDA"/>
    <w:rsid w:val="00192E34"/>
    <w:rsid w:val="00193347"/>
    <w:rsid w:val="001A6035"/>
    <w:rsid w:val="001A617C"/>
    <w:rsid w:val="001A6A0F"/>
    <w:rsid w:val="001B2276"/>
    <w:rsid w:val="001B24DD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180C"/>
    <w:rsid w:val="001F538D"/>
    <w:rsid w:val="001F7482"/>
    <w:rsid w:val="00200017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657F3"/>
    <w:rsid w:val="00266904"/>
    <w:rsid w:val="00267784"/>
    <w:rsid w:val="00275E76"/>
    <w:rsid w:val="0028124E"/>
    <w:rsid w:val="00286133"/>
    <w:rsid w:val="002917DB"/>
    <w:rsid w:val="00292D5A"/>
    <w:rsid w:val="00293F92"/>
    <w:rsid w:val="00296DA8"/>
    <w:rsid w:val="00297772"/>
    <w:rsid w:val="002A479F"/>
    <w:rsid w:val="002A49E1"/>
    <w:rsid w:val="002A4A19"/>
    <w:rsid w:val="002A66C1"/>
    <w:rsid w:val="002A6C21"/>
    <w:rsid w:val="002B1F20"/>
    <w:rsid w:val="002C7E3D"/>
    <w:rsid w:val="002D0BB3"/>
    <w:rsid w:val="002D39A0"/>
    <w:rsid w:val="002D3F5F"/>
    <w:rsid w:val="002E01A4"/>
    <w:rsid w:val="002E14ED"/>
    <w:rsid w:val="002E28F8"/>
    <w:rsid w:val="002E2B27"/>
    <w:rsid w:val="00300FA1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57DA4"/>
    <w:rsid w:val="003605F0"/>
    <w:rsid w:val="00364339"/>
    <w:rsid w:val="003667A8"/>
    <w:rsid w:val="00367F35"/>
    <w:rsid w:val="003737A3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B3619"/>
    <w:rsid w:val="003B6227"/>
    <w:rsid w:val="003C02EB"/>
    <w:rsid w:val="003C0BA3"/>
    <w:rsid w:val="003D0CC3"/>
    <w:rsid w:val="003D3D47"/>
    <w:rsid w:val="003E4C9A"/>
    <w:rsid w:val="003E7542"/>
    <w:rsid w:val="003E7642"/>
    <w:rsid w:val="003F0EF2"/>
    <w:rsid w:val="003F203D"/>
    <w:rsid w:val="004008DA"/>
    <w:rsid w:val="004017BB"/>
    <w:rsid w:val="0040371E"/>
    <w:rsid w:val="00405B84"/>
    <w:rsid w:val="00406771"/>
    <w:rsid w:val="00415A13"/>
    <w:rsid w:val="00417AD1"/>
    <w:rsid w:val="00420BFA"/>
    <w:rsid w:val="00425187"/>
    <w:rsid w:val="00425E3A"/>
    <w:rsid w:val="00432F15"/>
    <w:rsid w:val="0043437E"/>
    <w:rsid w:val="00434B9D"/>
    <w:rsid w:val="00437E6E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82395"/>
    <w:rsid w:val="00490281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0AA5"/>
    <w:rsid w:val="004D2577"/>
    <w:rsid w:val="004D41AE"/>
    <w:rsid w:val="004D6A31"/>
    <w:rsid w:val="004E425F"/>
    <w:rsid w:val="004E6DA7"/>
    <w:rsid w:val="004F06F5"/>
    <w:rsid w:val="004F71A5"/>
    <w:rsid w:val="004F7960"/>
    <w:rsid w:val="005021AC"/>
    <w:rsid w:val="00512979"/>
    <w:rsid w:val="0051317A"/>
    <w:rsid w:val="00513563"/>
    <w:rsid w:val="00515B0A"/>
    <w:rsid w:val="0053292E"/>
    <w:rsid w:val="00534466"/>
    <w:rsid w:val="00541508"/>
    <w:rsid w:val="00554ABD"/>
    <w:rsid w:val="00555993"/>
    <w:rsid w:val="00557306"/>
    <w:rsid w:val="005624BF"/>
    <w:rsid w:val="00563DEC"/>
    <w:rsid w:val="005654E5"/>
    <w:rsid w:val="00565943"/>
    <w:rsid w:val="005659F3"/>
    <w:rsid w:val="005701C6"/>
    <w:rsid w:val="00570DEB"/>
    <w:rsid w:val="00572D41"/>
    <w:rsid w:val="00584398"/>
    <w:rsid w:val="005873A2"/>
    <w:rsid w:val="005A1C5B"/>
    <w:rsid w:val="005A2737"/>
    <w:rsid w:val="005A3AA4"/>
    <w:rsid w:val="005A41D3"/>
    <w:rsid w:val="005A558F"/>
    <w:rsid w:val="005B1723"/>
    <w:rsid w:val="005B386B"/>
    <w:rsid w:val="005B3B1E"/>
    <w:rsid w:val="005B50D0"/>
    <w:rsid w:val="005B74E4"/>
    <w:rsid w:val="005C0CAC"/>
    <w:rsid w:val="005C508E"/>
    <w:rsid w:val="005C544F"/>
    <w:rsid w:val="005D2CAA"/>
    <w:rsid w:val="005D2FC3"/>
    <w:rsid w:val="005D6C50"/>
    <w:rsid w:val="005E2B1E"/>
    <w:rsid w:val="005F01AF"/>
    <w:rsid w:val="005F0789"/>
    <w:rsid w:val="005F1CFA"/>
    <w:rsid w:val="005F45B0"/>
    <w:rsid w:val="005F7B94"/>
    <w:rsid w:val="00604350"/>
    <w:rsid w:val="00610FE2"/>
    <w:rsid w:val="00611622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993"/>
    <w:rsid w:val="0068268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24C2"/>
    <w:rsid w:val="0070494D"/>
    <w:rsid w:val="00705FD8"/>
    <w:rsid w:val="00712E96"/>
    <w:rsid w:val="00714B58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1F21"/>
    <w:rsid w:val="00767478"/>
    <w:rsid w:val="007707A9"/>
    <w:rsid w:val="00777FC0"/>
    <w:rsid w:val="00781067"/>
    <w:rsid w:val="00781569"/>
    <w:rsid w:val="007837AA"/>
    <w:rsid w:val="00784919"/>
    <w:rsid w:val="00795F15"/>
    <w:rsid w:val="007A380D"/>
    <w:rsid w:val="007B0369"/>
    <w:rsid w:val="007B6291"/>
    <w:rsid w:val="007C25D5"/>
    <w:rsid w:val="007C719F"/>
    <w:rsid w:val="007D13FD"/>
    <w:rsid w:val="007D2C77"/>
    <w:rsid w:val="007D40BD"/>
    <w:rsid w:val="007D422E"/>
    <w:rsid w:val="007D4CBE"/>
    <w:rsid w:val="007D74BA"/>
    <w:rsid w:val="007E2F87"/>
    <w:rsid w:val="007E418E"/>
    <w:rsid w:val="007E5432"/>
    <w:rsid w:val="007F1ABE"/>
    <w:rsid w:val="007F1C94"/>
    <w:rsid w:val="007F2D64"/>
    <w:rsid w:val="008027E0"/>
    <w:rsid w:val="008044C2"/>
    <w:rsid w:val="008060C5"/>
    <w:rsid w:val="00810AF1"/>
    <w:rsid w:val="00813DC6"/>
    <w:rsid w:val="0081599D"/>
    <w:rsid w:val="00816EED"/>
    <w:rsid w:val="008230D5"/>
    <w:rsid w:val="00823668"/>
    <w:rsid w:val="00824238"/>
    <w:rsid w:val="00824CBA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0E03"/>
    <w:rsid w:val="0088515A"/>
    <w:rsid w:val="0088537B"/>
    <w:rsid w:val="0088539F"/>
    <w:rsid w:val="008904FB"/>
    <w:rsid w:val="00895F88"/>
    <w:rsid w:val="008A739F"/>
    <w:rsid w:val="008B0A7F"/>
    <w:rsid w:val="008B12B3"/>
    <w:rsid w:val="008C152D"/>
    <w:rsid w:val="008C1BD7"/>
    <w:rsid w:val="008C7A1E"/>
    <w:rsid w:val="008D393C"/>
    <w:rsid w:val="008D6127"/>
    <w:rsid w:val="008E0D8C"/>
    <w:rsid w:val="008E1796"/>
    <w:rsid w:val="008E270B"/>
    <w:rsid w:val="008E27E4"/>
    <w:rsid w:val="008E3F80"/>
    <w:rsid w:val="008E586D"/>
    <w:rsid w:val="008F04BF"/>
    <w:rsid w:val="008F0FEA"/>
    <w:rsid w:val="008F647D"/>
    <w:rsid w:val="00901DFC"/>
    <w:rsid w:val="00902509"/>
    <w:rsid w:val="0090266E"/>
    <w:rsid w:val="00904971"/>
    <w:rsid w:val="00910402"/>
    <w:rsid w:val="009110A4"/>
    <w:rsid w:val="00913716"/>
    <w:rsid w:val="00913FD6"/>
    <w:rsid w:val="00930AED"/>
    <w:rsid w:val="009343D8"/>
    <w:rsid w:val="00944DC2"/>
    <w:rsid w:val="009506D9"/>
    <w:rsid w:val="009514E5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84579"/>
    <w:rsid w:val="009A0949"/>
    <w:rsid w:val="009A69B1"/>
    <w:rsid w:val="009B1592"/>
    <w:rsid w:val="009B670B"/>
    <w:rsid w:val="009C03FF"/>
    <w:rsid w:val="009C139A"/>
    <w:rsid w:val="009C41B8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999"/>
    <w:rsid w:val="00A11D82"/>
    <w:rsid w:val="00A17812"/>
    <w:rsid w:val="00A26E4F"/>
    <w:rsid w:val="00A37510"/>
    <w:rsid w:val="00A4139A"/>
    <w:rsid w:val="00A44D8A"/>
    <w:rsid w:val="00A46CD6"/>
    <w:rsid w:val="00A56FA5"/>
    <w:rsid w:val="00A709E8"/>
    <w:rsid w:val="00A75262"/>
    <w:rsid w:val="00A77C3E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A4F69"/>
    <w:rsid w:val="00AB1C37"/>
    <w:rsid w:val="00AB20B2"/>
    <w:rsid w:val="00AB6C68"/>
    <w:rsid w:val="00AB761C"/>
    <w:rsid w:val="00AC0BE1"/>
    <w:rsid w:val="00AC6F5D"/>
    <w:rsid w:val="00AD4A8E"/>
    <w:rsid w:val="00AE1510"/>
    <w:rsid w:val="00AE25EA"/>
    <w:rsid w:val="00AE3027"/>
    <w:rsid w:val="00AE3AF2"/>
    <w:rsid w:val="00AF132C"/>
    <w:rsid w:val="00AF1901"/>
    <w:rsid w:val="00B0024A"/>
    <w:rsid w:val="00B018C8"/>
    <w:rsid w:val="00B02810"/>
    <w:rsid w:val="00B05847"/>
    <w:rsid w:val="00B07E7B"/>
    <w:rsid w:val="00B123CB"/>
    <w:rsid w:val="00B12A65"/>
    <w:rsid w:val="00B12B85"/>
    <w:rsid w:val="00B16A9D"/>
    <w:rsid w:val="00B30450"/>
    <w:rsid w:val="00B31761"/>
    <w:rsid w:val="00B43C94"/>
    <w:rsid w:val="00B4622B"/>
    <w:rsid w:val="00B47A1E"/>
    <w:rsid w:val="00B51643"/>
    <w:rsid w:val="00B51A80"/>
    <w:rsid w:val="00B53DFD"/>
    <w:rsid w:val="00B6357C"/>
    <w:rsid w:val="00B71605"/>
    <w:rsid w:val="00B72CAC"/>
    <w:rsid w:val="00B74836"/>
    <w:rsid w:val="00B765B0"/>
    <w:rsid w:val="00B76729"/>
    <w:rsid w:val="00B863D3"/>
    <w:rsid w:val="00B916E2"/>
    <w:rsid w:val="00B9265C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32D1"/>
    <w:rsid w:val="00C27508"/>
    <w:rsid w:val="00C335BA"/>
    <w:rsid w:val="00C35223"/>
    <w:rsid w:val="00C40081"/>
    <w:rsid w:val="00C4537B"/>
    <w:rsid w:val="00C467A4"/>
    <w:rsid w:val="00C57015"/>
    <w:rsid w:val="00C655B9"/>
    <w:rsid w:val="00C7170C"/>
    <w:rsid w:val="00C725AC"/>
    <w:rsid w:val="00C75FF9"/>
    <w:rsid w:val="00C829FA"/>
    <w:rsid w:val="00C92321"/>
    <w:rsid w:val="00C92D61"/>
    <w:rsid w:val="00C9763E"/>
    <w:rsid w:val="00CA1472"/>
    <w:rsid w:val="00CA3297"/>
    <w:rsid w:val="00CA4BFC"/>
    <w:rsid w:val="00CA5DDB"/>
    <w:rsid w:val="00CB4E1F"/>
    <w:rsid w:val="00CC449A"/>
    <w:rsid w:val="00CC457F"/>
    <w:rsid w:val="00CC6A2B"/>
    <w:rsid w:val="00CD150C"/>
    <w:rsid w:val="00CD25EC"/>
    <w:rsid w:val="00CD3A24"/>
    <w:rsid w:val="00CD62F7"/>
    <w:rsid w:val="00CD6F80"/>
    <w:rsid w:val="00CE0149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05A3"/>
    <w:rsid w:val="00D2332A"/>
    <w:rsid w:val="00D37902"/>
    <w:rsid w:val="00D400B0"/>
    <w:rsid w:val="00D40DF2"/>
    <w:rsid w:val="00D412B1"/>
    <w:rsid w:val="00D449E2"/>
    <w:rsid w:val="00D508C2"/>
    <w:rsid w:val="00D5126F"/>
    <w:rsid w:val="00D51570"/>
    <w:rsid w:val="00D52C8C"/>
    <w:rsid w:val="00D55F73"/>
    <w:rsid w:val="00D573AB"/>
    <w:rsid w:val="00D747B1"/>
    <w:rsid w:val="00D74C32"/>
    <w:rsid w:val="00D85C21"/>
    <w:rsid w:val="00D8621D"/>
    <w:rsid w:val="00D864EB"/>
    <w:rsid w:val="00D9054E"/>
    <w:rsid w:val="00D93819"/>
    <w:rsid w:val="00D95201"/>
    <w:rsid w:val="00D96683"/>
    <w:rsid w:val="00D9723E"/>
    <w:rsid w:val="00D97A8A"/>
    <w:rsid w:val="00DA49C6"/>
    <w:rsid w:val="00DB34CC"/>
    <w:rsid w:val="00DB3B97"/>
    <w:rsid w:val="00DB3F21"/>
    <w:rsid w:val="00DB5610"/>
    <w:rsid w:val="00DB6829"/>
    <w:rsid w:val="00DC159C"/>
    <w:rsid w:val="00DC6AE2"/>
    <w:rsid w:val="00DC6E23"/>
    <w:rsid w:val="00DD295A"/>
    <w:rsid w:val="00DD676D"/>
    <w:rsid w:val="00DE1B91"/>
    <w:rsid w:val="00DE3AFB"/>
    <w:rsid w:val="00DE6DA3"/>
    <w:rsid w:val="00E0031B"/>
    <w:rsid w:val="00E039C4"/>
    <w:rsid w:val="00E178B8"/>
    <w:rsid w:val="00E41056"/>
    <w:rsid w:val="00E44635"/>
    <w:rsid w:val="00E45BF6"/>
    <w:rsid w:val="00E54E30"/>
    <w:rsid w:val="00E61FD8"/>
    <w:rsid w:val="00E62BFE"/>
    <w:rsid w:val="00E63DC3"/>
    <w:rsid w:val="00E663B6"/>
    <w:rsid w:val="00E72514"/>
    <w:rsid w:val="00E75BB7"/>
    <w:rsid w:val="00E77831"/>
    <w:rsid w:val="00E8591C"/>
    <w:rsid w:val="00E87D23"/>
    <w:rsid w:val="00E90BBD"/>
    <w:rsid w:val="00E92537"/>
    <w:rsid w:val="00E94F4A"/>
    <w:rsid w:val="00EA5789"/>
    <w:rsid w:val="00EA7393"/>
    <w:rsid w:val="00EA7CBC"/>
    <w:rsid w:val="00EB2FF9"/>
    <w:rsid w:val="00EB30BC"/>
    <w:rsid w:val="00EB63B6"/>
    <w:rsid w:val="00EC0B96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53D7"/>
    <w:rsid w:val="00F325FF"/>
    <w:rsid w:val="00F33624"/>
    <w:rsid w:val="00F37F4E"/>
    <w:rsid w:val="00F41651"/>
    <w:rsid w:val="00F44A31"/>
    <w:rsid w:val="00F564CC"/>
    <w:rsid w:val="00F625AE"/>
    <w:rsid w:val="00F652B3"/>
    <w:rsid w:val="00F665E9"/>
    <w:rsid w:val="00F66AEE"/>
    <w:rsid w:val="00F7031F"/>
    <w:rsid w:val="00F703B9"/>
    <w:rsid w:val="00F71D26"/>
    <w:rsid w:val="00F72BA5"/>
    <w:rsid w:val="00F867EE"/>
    <w:rsid w:val="00F870A2"/>
    <w:rsid w:val="00F92FDF"/>
    <w:rsid w:val="00F952CB"/>
    <w:rsid w:val="00F96287"/>
    <w:rsid w:val="00F971F9"/>
    <w:rsid w:val="00FA008E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C7653"/>
    <w:rsid w:val="00FD13F0"/>
    <w:rsid w:val="00FD1782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66ACE358"/>
  <w15:chartTrackingRefBased/>
  <w15:docId w15:val="{70EB5A20-5334-40BF-B7C9-0C9628E5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765B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rsid w:val="0091371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1371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1371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9137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913716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9585-3377-408B-A501-C49278A4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1287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4</cp:revision>
  <cp:lastPrinted>2021-01-01T22:01:00Z</cp:lastPrinted>
  <dcterms:created xsi:type="dcterms:W3CDTF">2024-10-24T22:48:00Z</dcterms:created>
  <dcterms:modified xsi:type="dcterms:W3CDTF">2025-04-08T16:28:00Z</dcterms:modified>
</cp:coreProperties>
</file>